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BF74E" w14:textId="06E59BA8" w:rsidR="00BD1AE7" w:rsidRPr="00BD1AE7" w:rsidRDefault="00D21BEA" w:rsidP="00BD1AE7">
      <w:pPr>
        <w:rPr>
          <w:rFonts w:asciiTheme="majorHAnsi" w:hAnsiTheme="majorHAnsi"/>
          <w:b/>
          <w:bCs/>
        </w:rPr>
      </w:pPr>
      <w:r>
        <w:rPr>
          <w:rFonts w:asciiTheme="majorHAnsi" w:hAnsiTheme="majorHAnsi"/>
          <w:b/>
          <w:bCs/>
        </w:rPr>
        <w:t>Commission Disclosure</w:t>
      </w:r>
    </w:p>
    <w:p w14:paraId="02BB2FC0" w14:textId="77777777" w:rsidR="00BD1AE7" w:rsidRPr="00BD1AE7" w:rsidRDefault="00BD1AE7" w:rsidP="00BD1AE7">
      <w:pPr>
        <w:rPr>
          <w:rFonts w:asciiTheme="majorHAnsi" w:hAnsiTheme="majorHAnsi"/>
        </w:rPr>
      </w:pPr>
      <w:r w:rsidRPr="00BD1AE7">
        <w:rPr>
          <w:rFonts w:asciiTheme="majorHAnsi" w:hAnsiTheme="majorHAnsi"/>
        </w:rPr>
        <w:t xml:space="preserve">ZAG Insurance (o/a </w:t>
      </w:r>
      <w:proofErr w:type="spellStart"/>
      <w:r w:rsidRPr="00BD1AE7">
        <w:rPr>
          <w:rFonts w:asciiTheme="majorHAnsi" w:hAnsiTheme="majorHAnsi"/>
        </w:rPr>
        <w:t>A</w:t>
      </w:r>
      <w:proofErr w:type="spellEnd"/>
      <w:r w:rsidRPr="00BD1AE7">
        <w:rPr>
          <w:rFonts w:asciiTheme="majorHAnsi" w:hAnsiTheme="majorHAnsi"/>
        </w:rPr>
        <w:t xml:space="preserve"> Division of Oracle RMS) is an independent broker working on your behalf to secure competitive insurance products with coverage and terms that best protect your property and cover for liabilities you may incur.</w:t>
      </w:r>
    </w:p>
    <w:p w14:paraId="62238601" w14:textId="77777777" w:rsidR="00BD1AE7" w:rsidRPr="00BD1AE7" w:rsidRDefault="00BD1AE7" w:rsidP="00BD1AE7">
      <w:pPr>
        <w:rPr>
          <w:rFonts w:asciiTheme="majorHAnsi" w:hAnsiTheme="majorHAnsi"/>
        </w:rPr>
      </w:pPr>
      <w:r w:rsidRPr="00BD1AE7">
        <w:rPr>
          <w:rFonts w:asciiTheme="majorHAnsi" w:hAnsiTheme="majorHAnsi"/>
        </w:rPr>
        <w:t>The “independent” part of our role means we are not beholden to a single insurance company and your interests are always our priority. Our trained and licensed professionals: provide advice on markets offering the best price, coverage, and service; maintain your policies and manage mid-term changes; advocate for you in the case of policy issues and insurance claims.</w:t>
      </w:r>
    </w:p>
    <w:p w14:paraId="07D8C97B" w14:textId="77777777" w:rsidR="00BD1AE7" w:rsidRPr="00BD1AE7" w:rsidRDefault="00BD1AE7" w:rsidP="00BD1AE7">
      <w:pPr>
        <w:rPr>
          <w:rFonts w:asciiTheme="majorHAnsi" w:hAnsiTheme="majorHAnsi"/>
        </w:rPr>
      </w:pPr>
      <w:r w:rsidRPr="00BD1AE7">
        <w:rPr>
          <w:rFonts w:asciiTheme="majorHAnsi" w:hAnsiTheme="majorHAnsi"/>
        </w:rPr>
        <w:t>Commission percentages apply to new business and renewal policies and are paid to the broker annually.</w:t>
      </w:r>
    </w:p>
    <w:p w14:paraId="6EAD068C" w14:textId="77777777" w:rsidR="00BD1AE7" w:rsidRPr="00BD1AE7" w:rsidRDefault="00BD1AE7" w:rsidP="00BD1AE7">
      <w:pPr>
        <w:rPr>
          <w:rFonts w:asciiTheme="majorHAnsi" w:hAnsiTheme="majorHAnsi"/>
        </w:rPr>
      </w:pPr>
      <w:r w:rsidRPr="00BD1AE7">
        <w:rPr>
          <w:rFonts w:asciiTheme="majorHAnsi" w:hAnsiTheme="majorHAnsi"/>
        </w:rPr>
        <w:t> </w:t>
      </w:r>
    </w:p>
    <w:tbl>
      <w:tblPr>
        <w:tblW w:w="0" w:type="auto"/>
        <w:tblCellSpacing w:w="15" w:type="dxa"/>
        <w:shd w:val="clear" w:color="auto" w:fill="FFFFFF"/>
        <w:tblLayout w:type="fixed"/>
        <w:tblCellMar>
          <w:left w:w="0" w:type="dxa"/>
          <w:right w:w="0" w:type="dxa"/>
        </w:tblCellMar>
        <w:tblLook w:val="04A0" w:firstRow="1" w:lastRow="0" w:firstColumn="1" w:lastColumn="0" w:noHBand="0" w:noVBand="1"/>
      </w:tblPr>
      <w:tblGrid>
        <w:gridCol w:w="4463"/>
        <w:gridCol w:w="2625"/>
        <w:gridCol w:w="2272"/>
      </w:tblGrid>
      <w:tr w:rsidR="00BD1AE7" w:rsidRPr="00BD1AE7" w14:paraId="1677D917" w14:textId="77777777" w:rsidTr="00BD1AE7">
        <w:trPr>
          <w:tblCellSpacing w:w="15" w:type="dxa"/>
        </w:trPr>
        <w:tc>
          <w:tcPr>
            <w:tcW w:w="4418" w:type="dxa"/>
            <w:shd w:val="clear" w:color="auto" w:fill="FFFFFF"/>
            <w:vAlign w:val="center"/>
            <w:hideMark/>
          </w:tcPr>
          <w:p w14:paraId="7EE113C7" w14:textId="77777777" w:rsidR="00BD1AE7" w:rsidRPr="00BD1AE7" w:rsidRDefault="00BD1AE7" w:rsidP="00BD1AE7">
            <w:pPr>
              <w:spacing w:after="0" w:line="240" w:lineRule="auto"/>
              <w:rPr>
                <w:rFonts w:asciiTheme="majorHAnsi" w:eastAsia="Times New Roman" w:hAnsiTheme="majorHAnsi" w:cs="Times New Roman"/>
                <w:b/>
                <w:bCs/>
                <w:color w:val="7A7A7A"/>
                <w:kern w:val="0"/>
                <w:lang w:eastAsia="en-CA"/>
                <w14:ligatures w14:val="none"/>
              </w:rPr>
            </w:pPr>
            <w:r w:rsidRPr="00BD1AE7">
              <w:rPr>
                <w:rFonts w:asciiTheme="majorHAnsi" w:eastAsia="Times New Roman" w:hAnsiTheme="majorHAnsi" w:cs="Times New Roman"/>
                <w:b/>
                <w:bCs/>
                <w:color w:val="000000"/>
                <w:kern w:val="0"/>
                <w:lang w:eastAsia="en-CA"/>
                <w14:ligatures w14:val="none"/>
              </w:rPr>
              <w:t>Companies</w:t>
            </w:r>
          </w:p>
        </w:tc>
        <w:tc>
          <w:tcPr>
            <w:tcW w:w="2595" w:type="dxa"/>
            <w:shd w:val="clear" w:color="auto" w:fill="FFFFFF"/>
            <w:vAlign w:val="center"/>
            <w:hideMark/>
          </w:tcPr>
          <w:p w14:paraId="1BC0C14A" w14:textId="77777777" w:rsidR="00BD1AE7" w:rsidRPr="00BD1AE7" w:rsidRDefault="00BD1AE7" w:rsidP="00BD1AE7">
            <w:pPr>
              <w:spacing w:after="0" w:line="240" w:lineRule="auto"/>
              <w:rPr>
                <w:rFonts w:asciiTheme="majorHAnsi" w:eastAsia="Times New Roman" w:hAnsiTheme="majorHAnsi" w:cs="Times New Roman"/>
                <w:b/>
                <w:bCs/>
                <w:color w:val="7A7A7A"/>
                <w:kern w:val="0"/>
                <w:lang w:eastAsia="en-CA"/>
                <w14:ligatures w14:val="none"/>
              </w:rPr>
            </w:pPr>
            <w:r w:rsidRPr="00BD1AE7">
              <w:rPr>
                <w:rFonts w:asciiTheme="majorHAnsi" w:eastAsia="Times New Roman" w:hAnsiTheme="majorHAnsi" w:cs="Times New Roman"/>
                <w:b/>
                <w:bCs/>
                <w:color w:val="000000"/>
                <w:kern w:val="0"/>
                <w:lang w:eastAsia="en-CA"/>
                <w14:ligatures w14:val="none"/>
              </w:rPr>
              <w:t>Property</w:t>
            </w:r>
          </w:p>
        </w:tc>
        <w:tc>
          <w:tcPr>
            <w:tcW w:w="2227" w:type="dxa"/>
            <w:shd w:val="clear" w:color="auto" w:fill="FFFFFF"/>
            <w:vAlign w:val="center"/>
            <w:hideMark/>
          </w:tcPr>
          <w:p w14:paraId="4CC4016F" w14:textId="77777777" w:rsidR="00BD1AE7" w:rsidRPr="00BD1AE7" w:rsidRDefault="00BD1AE7" w:rsidP="00BD1AE7">
            <w:pPr>
              <w:spacing w:after="0" w:line="240" w:lineRule="auto"/>
              <w:rPr>
                <w:rFonts w:asciiTheme="majorHAnsi" w:eastAsia="Times New Roman" w:hAnsiTheme="majorHAnsi" w:cs="Times New Roman"/>
                <w:b/>
                <w:bCs/>
                <w:color w:val="7A7A7A"/>
                <w:kern w:val="0"/>
                <w:lang w:eastAsia="en-CA"/>
                <w14:ligatures w14:val="none"/>
              </w:rPr>
            </w:pPr>
            <w:r w:rsidRPr="00BD1AE7">
              <w:rPr>
                <w:rFonts w:asciiTheme="majorHAnsi" w:eastAsia="Times New Roman" w:hAnsiTheme="majorHAnsi" w:cs="Times New Roman"/>
                <w:b/>
                <w:bCs/>
                <w:color w:val="000000"/>
                <w:kern w:val="0"/>
                <w:lang w:eastAsia="en-CA"/>
                <w14:ligatures w14:val="none"/>
              </w:rPr>
              <w:t>Automobile</w:t>
            </w:r>
          </w:p>
        </w:tc>
      </w:tr>
      <w:tr w:rsidR="00BD1AE7" w:rsidRPr="00BD1AE7" w14:paraId="542BA89E" w14:textId="77777777" w:rsidTr="00BD1AE7">
        <w:trPr>
          <w:tblCellSpacing w:w="15" w:type="dxa"/>
        </w:trPr>
        <w:tc>
          <w:tcPr>
            <w:tcW w:w="4418" w:type="dxa"/>
            <w:shd w:val="clear" w:color="auto" w:fill="FFFFFF"/>
            <w:vAlign w:val="center"/>
            <w:hideMark/>
          </w:tcPr>
          <w:p w14:paraId="0ED01210"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Allianz                            </w:t>
            </w:r>
          </w:p>
        </w:tc>
        <w:tc>
          <w:tcPr>
            <w:tcW w:w="2595" w:type="dxa"/>
            <w:shd w:val="clear" w:color="auto" w:fill="FFFFFF"/>
            <w:vAlign w:val="center"/>
            <w:hideMark/>
          </w:tcPr>
          <w:p w14:paraId="5F51A6F5"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15 – 20%</w:t>
            </w:r>
          </w:p>
        </w:tc>
        <w:tc>
          <w:tcPr>
            <w:tcW w:w="2227" w:type="dxa"/>
            <w:shd w:val="clear" w:color="auto" w:fill="FFFFFF"/>
            <w:vAlign w:val="center"/>
            <w:hideMark/>
          </w:tcPr>
          <w:p w14:paraId="5A7EF937"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NA</w:t>
            </w:r>
          </w:p>
        </w:tc>
      </w:tr>
      <w:tr w:rsidR="00BD1AE7" w:rsidRPr="00BD1AE7" w14:paraId="2BE2E20B" w14:textId="77777777" w:rsidTr="00BD1AE7">
        <w:trPr>
          <w:tblCellSpacing w:w="15" w:type="dxa"/>
        </w:trPr>
        <w:tc>
          <w:tcPr>
            <w:tcW w:w="4418" w:type="dxa"/>
            <w:shd w:val="clear" w:color="auto" w:fill="FFFFFF"/>
            <w:vAlign w:val="center"/>
            <w:hideMark/>
          </w:tcPr>
          <w:p w14:paraId="29F095FC"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Aviva*</w:t>
            </w:r>
          </w:p>
        </w:tc>
        <w:tc>
          <w:tcPr>
            <w:tcW w:w="2595" w:type="dxa"/>
            <w:shd w:val="clear" w:color="auto" w:fill="FFFFFF"/>
            <w:vAlign w:val="center"/>
            <w:hideMark/>
          </w:tcPr>
          <w:p w14:paraId="0DB69D32"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31B946E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10% – 15%</w:t>
            </w:r>
          </w:p>
        </w:tc>
      </w:tr>
      <w:tr w:rsidR="00BD1AE7" w:rsidRPr="00BD1AE7" w14:paraId="4DE28B7D" w14:textId="77777777" w:rsidTr="00BD1AE7">
        <w:trPr>
          <w:tblCellSpacing w:w="15" w:type="dxa"/>
        </w:trPr>
        <w:tc>
          <w:tcPr>
            <w:tcW w:w="4418" w:type="dxa"/>
            <w:shd w:val="clear" w:color="auto" w:fill="FFFFFF"/>
            <w:vAlign w:val="center"/>
            <w:hideMark/>
          </w:tcPr>
          <w:p w14:paraId="3A0681B5"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CAA Insurance Company**</w:t>
            </w:r>
          </w:p>
        </w:tc>
        <w:tc>
          <w:tcPr>
            <w:tcW w:w="2595" w:type="dxa"/>
            <w:shd w:val="clear" w:color="auto" w:fill="FFFFFF"/>
            <w:vAlign w:val="center"/>
            <w:hideMark/>
          </w:tcPr>
          <w:p w14:paraId="26AAE20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04AF231C"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6D3C54B8" w14:textId="77777777" w:rsidTr="00BD1AE7">
        <w:trPr>
          <w:tblCellSpacing w:w="15" w:type="dxa"/>
        </w:trPr>
        <w:tc>
          <w:tcPr>
            <w:tcW w:w="4418" w:type="dxa"/>
            <w:shd w:val="clear" w:color="auto" w:fill="FFFFFF"/>
            <w:vAlign w:val="center"/>
            <w:hideMark/>
          </w:tcPr>
          <w:p w14:paraId="070E1B99"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Echelon*                                                                          </w:t>
            </w:r>
          </w:p>
        </w:tc>
        <w:tc>
          <w:tcPr>
            <w:tcW w:w="2595" w:type="dxa"/>
            <w:shd w:val="clear" w:color="auto" w:fill="FFFFFF"/>
            <w:vAlign w:val="center"/>
            <w:hideMark/>
          </w:tcPr>
          <w:p w14:paraId="4345603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N/A                 </w:t>
            </w:r>
          </w:p>
        </w:tc>
        <w:tc>
          <w:tcPr>
            <w:tcW w:w="2227" w:type="dxa"/>
            <w:shd w:val="clear" w:color="auto" w:fill="FFFFFF"/>
            <w:vAlign w:val="center"/>
            <w:hideMark/>
          </w:tcPr>
          <w:p w14:paraId="578A3C68"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 – 15%</w:t>
            </w:r>
          </w:p>
        </w:tc>
      </w:tr>
      <w:tr w:rsidR="00BD1AE7" w:rsidRPr="00BD1AE7" w14:paraId="509E3303" w14:textId="77777777" w:rsidTr="00BD1AE7">
        <w:trPr>
          <w:tblCellSpacing w:w="15" w:type="dxa"/>
        </w:trPr>
        <w:tc>
          <w:tcPr>
            <w:tcW w:w="4418" w:type="dxa"/>
            <w:shd w:val="clear" w:color="auto" w:fill="FFFFFF"/>
            <w:vAlign w:val="center"/>
            <w:hideMark/>
          </w:tcPr>
          <w:p w14:paraId="3E8B091C"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Definity/Economical*</w:t>
            </w:r>
          </w:p>
        </w:tc>
        <w:tc>
          <w:tcPr>
            <w:tcW w:w="2595" w:type="dxa"/>
            <w:shd w:val="clear" w:color="auto" w:fill="FFFFFF"/>
            <w:vAlign w:val="center"/>
            <w:hideMark/>
          </w:tcPr>
          <w:p w14:paraId="76E95128"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                                                                    </w:t>
            </w:r>
          </w:p>
        </w:tc>
        <w:tc>
          <w:tcPr>
            <w:tcW w:w="2227" w:type="dxa"/>
            <w:shd w:val="clear" w:color="auto" w:fill="FFFFFF"/>
            <w:vAlign w:val="center"/>
            <w:hideMark/>
          </w:tcPr>
          <w:p w14:paraId="6FDB7180"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10% – 12.5%&lt;</w:t>
            </w:r>
          </w:p>
        </w:tc>
      </w:tr>
      <w:tr w:rsidR="00BD1AE7" w:rsidRPr="00BD1AE7" w14:paraId="4E73320D" w14:textId="77777777" w:rsidTr="00BD1AE7">
        <w:trPr>
          <w:tblCellSpacing w:w="15" w:type="dxa"/>
        </w:trPr>
        <w:tc>
          <w:tcPr>
            <w:tcW w:w="4418" w:type="dxa"/>
            <w:shd w:val="clear" w:color="auto" w:fill="FFFFFF"/>
            <w:vAlign w:val="center"/>
            <w:hideMark/>
          </w:tcPr>
          <w:p w14:paraId="6017C923"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Facility (RSA)</w:t>
            </w:r>
          </w:p>
        </w:tc>
        <w:tc>
          <w:tcPr>
            <w:tcW w:w="2595" w:type="dxa"/>
            <w:shd w:val="clear" w:color="auto" w:fill="FFFFFF"/>
            <w:vAlign w:val="center"/>
            <w:hideMark/>
          </w:tcPr>
          <w:p w14:paraId="0B8C35C2"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N/A</w:t>
            </w:r>
          </w:p>
        </w:tc>
        <w:tc>
          <w:tcPr>
            <w:tcW w:w="2227" w:type="dxa"/>
            <w:shd w:val="clear" w:color="auto" w:fill="FFFFFF"/>
            <w:vAlign w:val="center"/>
            <w:hideMark/>
          </w:tcPr>
          <w:p w14:paraId="1CF7187D"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6% – 11% Capped at $250</w:t>
            </w:r>
          </w:p>
        </w:tc>
      </w:tr>
      <w:tr w:rsidR="00BD1AE7" w:rsidRPr="00BD1AE7" w14:paraId="7279BD00" w14:textId="77777777" w:rsidTr="00BD1AE7">
        <w:trPr>
          <w:tblCellSpacing w:w="15" w:type="dxa"/>
        </w:trPr>
        <w:tc>
          <w:tcPr>
            <w:tcW w:w="4418" w:type="dxa"/>
            <w:shd w:val="clear" w:color="auto" w:fill="FFFFFF"/>
            <w:vAlign w:val="center"/>
            <w:hideMark/>
          </w:tcPr>
          <w:p w14:paraId="3453F0D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Gore*</w:t>
            </w:r>
          </w:p>
        </w:tc>
        <w:tc>
          <w:tcPr>
            <w:tcW w:w="2595" w:type="dxa"/>
            <w:shd w:val="clear" w:color="auto" w:fill="FFFFFF"/>
            <w:vAlign w:val="center"/>
            <w:hideMark/>
          </w:tcPr>
          <w:p w14:paraId="134C4DD1"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7152043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10% – 12.5%</w:t>
            </w:r>
          </w:p>
        </w:tc>
      </w:tr>
      <w:tr w:rsidR="00BD1AE7" w:rsidRPr="00BD1AE7" w14:paraId="0B88EAF5" w14:textId="77777777" w:rsidTr="00BD1AE7">
        <w:trPr>
          <w:tblCellSpacing w:w="15" w:type="dxa"/>
        </w:trPr>
        <w:tc>
          <w:tcPr>
            <w:tcW w:w="4418" w:type="dxa"/>
            <w:shd w:val="clear" w:color="auto" w:fill="FFFFFF"/>
            <w:vAlign w:val="center"/>
            <w:hideMark/>
          </w:tcPr>
          <w:p w14:paraId="43549A37"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Intact Insurance*</w:t>
            </w:r>
          </w:p>
        </w:tc>
        <w:tc>
          <w:tcPr>
            <w:tcW w:w="2595" w:type="dxa"/>
            <w:shd w:val="clear" w:color="auto" w:fill="FFFFFF"/>
            <w:vAlign w:val="center"/>
            <w:hideMark/>
          </w:tcPr>
          <w:p w14:paraId="1FAD1B81"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4F04F070"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44EEC235" w14:textId="77777777" w:rsidTr="00BD1AE7">
        <w:trPr>
          <w:tblCellSpacing w:w="15" w:type="dxa"/>
        </w:trPr>
        <w:tc>
          <w:tcPr>
            <w:tcW w:w="4418" w:type="dxa"/>
            <w:shd w:val="clear" w:color="auto" w:fill="FFFFFF"/>
            <w:vAlign w:val="center"/>
            <w:hideMark/>
          </w:tcPr>
          <w:p w14:paraId="1EAA6C8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proofErr w:type="spellStart"/>
            <w:r w:rsidRPr="00BD1AE7">
              <w:rPr>
                <w:rFonts w:asciiTheme="majorHAnsi" w:eastAsia="Times New Roman" w:hAnsiTheme="majorHAnsi" w:cs="Times New Roman"/>
                <w:color w:val="000000"/>
                <w:kern w:val="0"/>
                <w:lang w:eastAsia="en-CA"/>
                <w14:ligatures w14:val="none"/>
              </w:rPr>
              <w:t>Jevco</w:t>
            </w:r>
            <w:proofErr w:type="spellEnd"/>
            <w:r w:rsidRPr="00BD1AE7">
              <w:rPr>
                <w:rFonts w:asciiTheme="majorHAnsi" w:eastAsia="Times New Roman" w:hAnsiTheme="majorHAnsi" w:cs="Times New Roman"/>
                <w:color w:val="000000"/>
                <w:kern w:val="0"/>
                <w:lang w:eastAsia="en-CA"/>
                <w14:ligatures w14:val="none"/>
              </w:rPr>
              <w:t>*</w:t>
            </w:r>
          </w:p>
        </w:tc>
        <w:tc>
          <w:tcPr>
            <w:tcW w:w="2595" w:type="dxa"/>
            <w:shd w:val="clear" w:color="auto" w:fill="FFFFFF"/>
            <w:vAlign w:val="center"/>
            <w:hideMark/>
          </w:tcPr>
          <w:p w14:paraId="0B135C3B"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N/A</w:t>
            </w:r>
          </w:p>
        </w:tc>
        <w:tc>
          <w:tcPr>
            <w:tcW w:w="2227" w:type="dxa"/>
            <w:shd w:val="clear" w:color="auto" w:fill="FFFFFF"/>
            <w:vAlign w:val="center"/>
            <w:hideMark/>
          </w:tcPr>
          <w:p w14:paraId="00C5F258"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1909FEB1" w14:textId="77777777" w:rsidTr="00BD1AE7">
        <w:trPr>
          <w:tblCellSpacing w:w="15" w:type="dxa"/>
        </w:trPr>
        <w:tc>
          <w:tcPr>
            <w:tcW w:w="4418" w:type="dxa"/>
            <w:shd w:val="clear" w:color="auto" w:fill="FFFFFF"/>
            <w:vAlign w:val="center"/>
            <w:hideMark/>
          </w:tcPr>
          <w:p w14:paraId="169D337D"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Max</w:t>
            </w:r>
          </w:p>
        </w:tc>
        <w:tc>
          <w:tcPr>
            <w:tcW w:w="2595" w:type="dxa"/>
            <w:shd w:val="clear" w:color="auto" w:fill="FFFFFF"/>
            <w:vAlign w:val="center"/>
            <w:hideMark/>
          </w:tcPr>
          <w:p w14:paraId="27CD053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7F4F1C9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N/A</w:t>
            </w:r>
          </w:p>
        </w:tc>
      </w:tr>
      <w:tr w:rsidR="00BD1AE7" w:rsidRPr="00BD1AE7" w14:paraId="4FC4FB7B" w14:textId="77777777" w:rsidTr="00BD1AE7">
        <w:trPr>
          <w:tblCellSpacing w:w="15" w:type="dxa"/>
        </w:trPr>
        <w:tc>
          <w:tcPr>
            <w:tcW w:w="4418" w:type="dxa"/>
            <w:shd w:val="clear" w:color="auto" w:fill="FFFFFF"/>
            <w:vAlign w:val="center"/>
            <w:hideMark/>
          </w:tcPr>
          <w:p w14:paraId="2F7C9AC1"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proofErr w:type="spellStart"/>
            <w:r w:rsidRPr="00BD1AE7">
              <w:rPr>
                <w:rFonts w:asciiTheme="majorHAnsi" w:eastAsia="Times New Roman" w:hAnsiTheme="majorHAnsi" w:cs="Times New Roman"/>
                <w:color w:val="000000"/>
                <w:kern w:val="0"/>
                <w:lang w:eastAsia="en-CA"/>
                <w14:ligatures w14:val="none"/>
              </w:rPr>
              <w:t>Pafco</w:t>
            </w:r>
            <w:proofErr w:type="spellEnd"/>
            <w:r w:rsidRPr="00BD1AE7">
              <w:rPr>
                <w:rFonts w:asciiTheme="majorHAnsi" w:eastAsia="Times New Roman" w:hAnsiTheme="majorHAnsi" w:cs="Times New Roman"/>
                <w:color w:val="000000"/>
                <w:kern w:val="0"/>
                <w:lang w:eastAsia="en-CA"/>
                <w14:ligatures w14:val="none"/>
              </w:rPr>
              <w:t>*</w:t>
            </w:r>
          </w:p>
        </w:tc>
        <w:tc>
          <w:tcPr>
            <w:tcW w:w="2595" w:type="dxa"/>
            <w:shd w:val="clear" w:color="auto" w:fill="FFFFFF"/>
            <w:vAlign w:val="center"/>
            <w:hideMark/>
          </w:tcPr>
          <w:p w14:paraId="5A499868"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5468B3C2"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7B203E1E" w14:textId="77777777" w:rsidTr="00BD1AE7">
        <w:trPr>
          <w:tblCellSpacing w:w="15" w:type="dxa"/>
        </w:trPr>
        <w:tc>
          <w:tcPr>
            <w:tcW w:w="4418" w:type="dxa"/>
            <w:shd w:val="clear" w:color="auto" w:fill="FFFFFF"/>
            <w:vAlign w:val="center"/>
            <w:hideMark/>
          </w:tcPr>
          <w:p w14:paraId="52F08E00"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Pembridge*</w:t>
            </w:r>
          </w:p>
        </w:tc>
        <w:tc>
          <w:tcPr>
            <w:tcW w:w="2595" w:type="dxa"/>
            <w:shd w:val="clear" w:color="auto" w:fill="FFFFFF"/>
            <w:vAlign w:val="center"/>
            <w:hideMark/>
          </w:tcPr>
          <w:p w14:paraId="71847A8D"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025E6A4A"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3F433806" w14:textId="77777777" w:rsidTr="00BD1AE7">
        <w:trPr>
          <w:tblCellSpacing w:w="15" w:type="dxa"/>
        </w:trPr>
        <w:tc>
          <w:tcPr>
            <w:tcW w:w="4418" w:type="dxa"/>
            <w:shd w:val="clear" w:color="auto" w:fill="FFFFFF"/>
            <w:vAlign w:val="center"/>
            <w:hideMark/>
          </w:tcPr>
          <w:p w14:paraId="1EFC0FAC"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Perth</w:t>
            </w:r>
          </w:p>
        </w:tc>
        <w:tc>
          <w:tcPr>
            <w:tcW w:w="2595" w:type="dxa"/>
            <w:shd w:val="clear" w:color="auto" w:fill="FFFFFF"/>
            <w:vAlign w:val="center"/>
            <w:hideMark/>
          </w:tcPr>
          <w:p w14:paraId="46F1ECF6"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4A1C6B0A"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4DC90C45" w14:textId="77777777" w:rsidTr="00BD1AE7">
        <w:trPr>
          <w:tblCellSpacing w:w="15" w:type="dxa"/>
        </w:trPr>
        <w:tc>
          <w:tcPr>
            <w:tcW w:w="4418" w:type="dxa"/>
            <w:shd w:val="clear" w:color="auto" w:fill="FFFFFF"/>
            <w:vAlign w:val="center"/>
            <w:hideMark/>
          </w:tcPr>
          <w:p w14:paraId="10C90C68"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RSA*</w:t>
            </w:r>
          </w:p>
        </w:tc>
        <w:tc>
          <w:tcPr>
            <w:tcW w:w="2595" w:type="dxa"/>
            <w:shd w:val="clear" w:color="auto" w:fill="FFFFFF"/>
            <w:vAlign w:val="center"/>
            <w:hideMark/>
          </w:tcPr>
          <w:p w14:paraId="0BEDBD8A"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3A8CFCB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10% – 12.5%</w:t>
            </w:r>
          </w:p>
        </w:tc>
      </w:tr>
      <w:tr w:rsidR="00BD1AE7" w:rsidRPr="00BD1AE7" w14:paraId="25DAFDBD" w14:textId="77777777" w:rsidTr="00BD1AE7">
        <w:trPr>
          <w:tblCellSpacing w:w="15" w:type="dxa"/>
        </w:trPr>
        <w:tc>
          <w:tcPr>
            <w:tcW w:w="4418" w:type="dxa"/>
            <w:shd w:val="clear" w:color="auto" w:fill="FFFFFF"/>
            <w:vAlign w:val="center"/>
            <w:hideMark/>
          </w:tcPr>
          <w:p w14:paraId="34E88796"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Sovereign General*</w:t>
            </w:r>
          </w:p>
        </w:tc>
        <w:tc>
          <w:tcPr>
            <w:tcW w:w="2595" w:type="dxa"/>
            <w:shd w:val="clear" w:color="auto" w:fill="FFFFFF"/>
            <w:vAlign w:val="center"/>
            <w:hideMark/>
          </w:tcPr>
          <w:p w14:paraId="57A65B22"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240318CC"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10% – 12.5%</w:t>
            </w:r>
          </w:p>
        </w:tc>
      </w:tr>
      <w:tr w:rsidR="00BD1AE7" w:rsidRPr="00BD1AE7" w14:paraId="3F265EE6" w14:textId="77777777" w:rsidTr="00BD1AE7">
        <w:trPr>
          <w:tblCellSpacing w:w="15" w:type="dxa"/>
        </w:trPr>
        <w:tc>
          <w:tcPr>
            <w:tcW w:w="4418" w:type="dxa"/>
            <w:shd w:val="clear" w:color="auto" w:fill="FFFFFF"/>
            <w:vAlign w:val="center"/>
            <w:hideMark/>
          </w:tcPr>
          <w:p w14:paraId="5D44F4E7"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Travelers*</w:t>
            </w:r>
          </w:p>
        </w:tc>
        <w:tc>
          <w:tcPr>
            <w:tcW w:w="2595" w:type="dxa"/>
            <w:shd w:val="clear" w:color="auto" w:fill="FFFFFF"/>
            <w:vAlign w:val="center"/>
            <w:hideMark/>
          </w:tcPr>
          <w:p w14:paraId="3974396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3ACBFFF0"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12.50%</w:t>
            </w:r>
          </w:p>
        </w:tc>
      </w:tr>
      <w:tr w:rsidR="00BD1AE7" w:rsidRPr="00BD1AE7" w14:paraId="069A9B5C" w14:textId="77777777" w:rsidTr="00BD1AE7">
        <w:trPr>
          <w:tblCellSpacing w:w="15" w:type="dxa"/>
        </w:trPr>
        <w:tc>
          <w:tcPr>
            <w:tcW w:w="4418" w:type="dxa"/>
            <w:shd w:val="clear" w:color="auto" w:fill="FFFFFF"/>
            <w:vAlign w:val="center"/>
            <w:hideMark/>
          </w:tcPr>
          <w:p w14:paraId="3E1366AF"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Wawanesa Mutual*</w:t>
            </w:r>
          </w:p>
        </w:tc>
        <w:tc>
          <w:tcPr>
            <w:tcW w:w="2595" w:type="dxa"/>
            <w:shd w:val="clear" w:color="auto" w:fill="FFFFFF"/>
            <w:vAlign w:val="center"/>
            <w:hideMark/>
          </w:tcPr>
          <w:p w14:paraId="09572C35"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20%</w:t>
            </w:r>
          </w:p>
        </w:tc>
        <w:tc>
          <w:tcPr>
            <w:tcW w:w="2227" w:type="dxa"/>
            <w:shd w:val="clear" w:color="auto" w:fill="FFFFFF"/>
            <w:vAlign w:val="center"/>
            <w:hideMark/>
          </w:tcPr>
          <w:p w14:paraId="70479E8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7.5% – 12.5%</w:t>
            </w:r>
          </w:p>
        </w:tc>
      </w:tr>
      <w:tr w:rsidR="00BD1AE7" w:rsidRPr="00BD1AE7" w14:paraId="7385D20A" w14:textId="77777777" w:rsidTr="00BD1AE7">
        <w:trPr>
          <w:tblCellSpacing w:w="15" w:type="dxa"/>
        </w:trPr>
        <w:tc>
          <w:tcPr>
            <w:tcW w:w="4418" w:type="dxa"/>
            <w:shd w:val="clear" w:color="auto" w:fill="FFFFFF"/>
            <w:vAlign w:val="center"/>
            <w:hideMark/>
          </w:tcPr>
          <w:p w14:paraId="7446CFF1"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Zurich*</w:t>
            </w:r>
          </w:p>
        </w:tc>
        <w:tc>
          <w:tcPr>
            <w:tcW w:w="2595" w:type="dxa"/>
            <w:shd w:val="clear" w:color="auto" w:fill="FFFFFF"/>
            <w:vAlign w:val="center"/>
            <w:hideMark/>
          </w:tcPr>
          <w:p w14:paraId="5BA4413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15 – 20%</w:t>
            </w:r>
          </w:p>
        </w:tc>
        <w:tc>
          <w:tcPr>
            <w:tcW w:w="2227" w:type="dxa"/>
            <w:shd w:val="clear" w:color="auto" w:fill="FFFFFF"/>
            <w:vAlign w:val="center"/>
            <w:hideMark/>
          </w:tcPr>
          <w:p w14:paraId="4767C88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7.5% – 12.5%</w:t>
            </w:r>
          </w:p>
        </w:tc>
      </w:tr>
      <w:tr w:rsidR="00BD1AE7" w:rsidRPr="00BD1AE7" w14:paraId="4942A4E2" w14:textId="77777777" w:rsidTr="00BD1AE7">
        <w:trPr>
          <w:tblCellSpacing w:w="15" w:type="dxa"/>
        </w:trPr>
        <w:tc>
          <w:tcPr>
            <w:tcW w:w="4418" w:type="dxa"/>
            <w:shd w:val="clear" w:color="auto" w:fill="FFFFFF"/>
            <w:vAlign w:val="center"/>
            <w:hideMark/>
          </w:tcPr>
          <w:p w14:paraId="6FD7BD65"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Various Specialty Markets</w:t>
            </w:r>
          </w:p>
        </w:tc>
        <w:tc>
          <w:tcPr>
            <w:tcW w:w="2595" w:type="dxa"/>
            <w:shd w:val="clear" w:color="auto" w:fill="FFFFFF"/>
            <w:vAlign w:val="center"/>
            <w:hideMark/>
          </w:tcPr>
          <w:p w14:paraId="4289BDF5"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10% – 15%</w:t>
            </w:r>
          </w:p>
        </w:tc>
        <w:tc>
          <w:tcPr>
            <w:tcW w:w="2227" w:type="dxa"/>
            <w:shd w:val="clear" w:color="auto" w:fill="FFFFFF"/>
            <w:vAlign w:val="center"/>
            <w:hideMark/>
          </w:tcPr>
          <w:p w14:paraId="394939FE" w14:textId="77777777" w:rsidR="00BD1AE7" w:rsidRPr="00BD1AE7" w:rsidRDefault="00BD1AE7" w:rsidP="00BD1AE7">
            <w:pPr>
              <w:spacing w:after="0" w:line="240" w:lineRule="auto"/>
              <w:rPr>
                <w:rFonts w:asciiTheme="majorHAnsi" w:eastAsia="Times New Roman" w:hAnsiTheme="majorHAnsi" w:cs="Times New Roman"/>
                <w:color w:val="7A7A7A"/>
                <w:kern w:val="0"/>
                <w:lang w:eastAsia="en-CA"/>
                <w14:ligatures w14:val="none"/>
              </w:rPr>
            </w:pPr>
            <w:r w:rsidRPr="00BD1AE7">
              <w:rPr>
                <w:rFonts w:asciiTheme="majorHAnsi" w:eastAsia="Times New Roman" w:hAnsiTheme="majorHAnsi" w:cs="Times New Roman"/>
                <w:color w:val="000000"/>
                <w:kern w:val="0"/>
                <w:lang w:eastAsia="en-CA"/>
                <w14:ligatures w14:val="none"/>
              </w:rPr>
              <w:t>7.5% – 12.5%</w:t>
            </w:r>
          </w:p>
        </w:tc>
      </w:tr>
    </w:tbl>
    <w:p w14:paraId="295E3E58" w14:textId="132E34D2" w:rsidR="00BD1AE7" w:rsidRPr="00BD1AE7" w:rsidRDefault="00BD1AE7" w:rsidP="00BD1AE7">
      <w:pPr>
        <w:rPr>
          <w:rFonts w:asciiTheme="majorHAnsi" w:hAnsiTheme="majorHAnsi"/>
        </w:rPr>
      </w:pPr>
    </w:p>
    <w:p w14:paraId="1F8A7FC7" w14:textId="77777777" w:rsidR="00BD1AE7" w:rsidRPr="00BD1AE7" w:rsidRDefault="00BD1AE7" w:rsidP="00BD1AE7">
      <w:pPr>
        <w:rPr>
          <w:rFonts w:asciiTheme="majorHAnsi" w:hAnsiTheme="majorHAnsi"/>
        </w:rPr>
      </w:pPr>
      <w:r w:rsidRPr="00BD1AE7">
        <w:rPr>
          <w:rFonts w:asciiTheme="majorHAnsi" w:hAnsiTheme="majorHAnsi"/>
        </w:rPr>
        <w:t xml:space="preserve">* The success of insurance companies relies on business selected and priced to ensure total premiums exceed claims paid. To encourage growth of profitable business in desired classes, </w:t>
      </w:r>
      <w:r w:rsidRPr="00BD1AE7">
        <w:rPr>
          <w:rFonts w:asciiTheme="majorHAnsi" w:hAnsiTheme="majorHAnsi"/>
        </w:rPr>
        <w:lastRenderedPageBreak/>
        <w:t>many insurers provide incentives under Contingent (Profit) Commission contracts. An asterisk is shown in the chart above for companies offering programs.</w:t>
      </w:r>
    </w:p>
    <w:p w14:paraId="1F54A58D" w14:textId="77777777" w:rsidR="00BD1AE7" w:rsidRPr="00BD1AE7" w:rsidRDefault="00BD1AE7" w:rsidP="00BD1AE7">
      <w:pPr>
        <w:rPr>
          <w:rFonts w:asciiTheme="majorHAnsi" w:hAnsiTheme="majorHAnsi"/>
        </w:rPr>
      </w:pPr>
      <w:r w:rsidRPr="00BD1AE7">
        <w:rPr>
          <w:rFonts w:asciiTheme="majorHAnsi" w:hAnsiTheme="majorHAnsi"/>
        </w:rPr>
        <w:t>** ZAG Insurance is authorized to sell CAA Membership’s on behalf of CAA and is compensated upon the sale of a membership in the amount of $10 per Basic Membership and $15 per Plus or Premier memberships.</w:t>
      </w:r>
    </w:p>
    <w:p w14:paraId="0D5FC4CD" w14:textId="77777777" w:rsidR="00BD1AE7" w:rsidRPr="00BD1AE7" w:rsidRDefault="00BD1AE7" w:rsidP="00BD1AE7">
      <w:pPr>
        <w:rPr>
          <w:rFonts w:asciiTheme="majorHAnsi" w:hAnsiTheme="majorHAnsi"/>
        </w:rPr>
      </w:pPr>
      <w:r w:rsidRPr="00BD1AE7">
        <w:rPr>
          <w:rFonts w:asciiTheme="majorHAnsi" w:hAnsiTheme="majorHAnsi"/>
        </w:rPr>
        <w:t>Based on proprietary formulas involving overall premium volume; growth percentages; profitability (loss ratio); business retention rates; and other service initiatives, we may qualify for compensation under the Contingent Commission programs of insurers. In addition, our principals or other personnel may be invited to attend periodic educational, or sales conferences sponsored by insurance companies.</w:t>
      </w:r>
    </w:p>
    <w:p w14:paraId="2E0DB741" w14:textId="77777777" w:rsidR="00BD1AE7" w:rsidRPr="00BD1AE7" w:rsidRDefault="00BD1AE7" w:rsidP="00BD1AE7">
      <w:pPr>
        <w:rPr>
          <w:rFonts w:asciiTheme="majorHAnsi" w:hAnsiTheme="majorHAnsi"/>
        </w:rPr>
      </w:pPr>
      <w:r w:rsidRPr="00BD1AE7">
        <w:rPr>
          <w:rFonts w:asciiTheme="majorHAnsi" w:hAnsiTheme="majorHAnsi"/>
        </w:rPr>
        <w:t>For information specifically related to commitments made by insurance companies, you can refer to the Consumer Code of Rights and Responsibilities provided with your new business policy or refer to the corporate website of an individual insurance company.</w:t>
      </w:r>
    </w:p>
    <w:p w14:paraId="5F3BF6BA" w14:textId="77777777" w:rsidR="00BD1AE7" w:rsidRPr="00BD1AE7" w:rsidRDefault="00BD1AE7" w:rsidP="00BD1AE7">
      <w:pPr>
        <w:rPr>
          <w:rFonts w:asciiTheme="majorHAnsi" w:hAnsiTheme="majorHAnsi"/>
        </w:rPr>
      </w:pPr>
      <w:r w:rsidRPr="00BD1AE7">
        <w:rPr>
          <w:rFonts w:asciiTheme="majorHAnsi" w:hAnsiTheme="majorHAnsi"/>
        </w:rPr>
        <w:t>Please do not hesitate to contact us if you have any questions related to this declaration or any other matter involving your insurance.</w:t>
      </w:r>
    </w:p>
    <w:p w14:paraId="3F350DCF" w14:textId="77777777" w:rsidR="006B1E3F" w:rsidRPr="00BD1AE7" w:rsidRDefault="006B1E3F">
      <w:pPr>
        <w:rPr>
          <w:rFonts w:asciiTheme="majorHAnsi" w:hAnsiTheme="majorHAnsi"/>
        </w:rPr>
      </w:pPr>
    </w:p>
    <w:sectPr w:rsidR="006B1E3F" w:rsidRPr="00BD1AE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AE7"/>
    <w:rsid w:val="001F7201"/>
    <w:rsid w:val="00553756"/>
    <w:rsid w:val="005A00DB"/>
    <w:rsid w:val="006B1E3F"/>
    <w:rsid w:val="00BD1AE7"/>
    <w:rsid w:val="00D21BEA"/>
    <w:rsid w:val="00F5082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0C44B"/>
  <w15:chartTrackingRefBased/>
  <w15:docId w15:val="{D079902E-4A08-437C-92AA-C350EB689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1A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1A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1A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1A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1A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1A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A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A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A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A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1A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1A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1A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1A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1A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A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A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AE7"/>
    <w:rPr>
      <w:rFonts w:eastAsiaTheme="majorEastAsia" w:cstheme="majorBidi"/>
      <w:color w:val="272727" w:themeColor="text1" w:themeTint="D8"/>
    </w:rPr>
  </w:style>
  <w:style w:type="paragraph" w:styleId="Title">
    <w:name w:val="Title"/>
    <w:basedOn w:val="Normal"/>
    <w:next w:val="Normal"/>
    <w:link w:val="TitleChar"/>
    <w:uiPriority w:val="10"/>
    <w:qFormat/>
    <w:rsid w:val="00BD1A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A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A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A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AE7"/>
    <w:pPr>
      <w:spacing w:before="160"/>
      <w:jc w:val="center"/>
    </w:pPr>
    <w:rPr>
      <w:i/>
      <w:iCs/>
      <w:color w:val="404040" w:themeColor="text1" w:themeTint="BF"/>
    </w:rPr>
  </w:style>
  <w:style w:type="character" w:customStyle="1" w:styleId="QuoteChar">
    <w:name w:val="Quote Char"/>
    <w:basedOn w:val="DefaultParagraphFont"/>
    <w:link w:val="Quote"/>
    <w:uiPriority w:val="29"/>
    <w:rsid w:val="00BD1AE7"/>
    <w:rPr>
      <w:i/>
      <w:iCs/>
      <w:color w:val="404040" w:themeColor="text1" w:themeTint="BF"/>
    </w:rPr>
  </w:style>
  <w:style w:type="paragraph" w:styleId="ListParagraph">
    <w:name w:val="List Paragraph"/>
    <w:basedOn w:val="Normal"/>
    <w:uiPriority w:val="34"/>
    <w:qFormat/>
    <w:rsid w:val="00BD1AE7"/>
    <w:pPr>
      <w:ind w:left="720"/>
      <w:contextualSpacing/>
    </w:pPr>
  </w:style>
  <w:style w:type="character" w:styleId="IntenseEmphasis">
    <w:name w:val="Intense Emphasis"/>
    <w:basedOn w:val="DefaultParagraphFont"/>
    <w:uiPriority w:val="21"/>
    <w:qFormat/>
    <w:rsid w:val="00BD1AE7"/>
    <w:rPr>
      <w:i/>
      <w:iCs/>
      <w:color w:val="0F4761" w:themeColor="accent1" w:themeShade="BF"/>
    </w:rPr>
  </w:style>
  <w:style w:type="paragraph" w:styleId="IntenseQuote">
    <w:name w:val="Intense Quote"/>
    <w:basedOn w:val="Normal"/>
    <w:next w:val="Normal"/>
    <w:link w:val="IntenseQuoteChar"/>
    <w:uiPriority w:val="30"/>
    <w:qFormat/>
    <w:rsid w:val="00BD1A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1AE7"/>
    <w:rPr>
      <w:i/>
      <w:iCs/>
      <w:color w:val="0F4761" w:themeColor="accent1" w:themeShade="BF"/>
    </w:rPr>
  </w:style>
  <w:style w:type="character" w:styleId="IntenseReference">
    <w:name w:val="Intense Reference"/>
    <w:basedOn w:val="DefaultParagraphFont"/>
    <w:uiPriority w:val="32"/>
    <w:qFormat/>
    <w:rsid w:val="00BD1A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2201">
      <w:bodyDiv w:val="1"/>
      <w:marLeft w:val="0"/>
      <w:marRight w:val="0"/>
      <w:marTop w:val="0"/>
      <w:marBottom w:val="0"/>
      <w:divBdr>
        <w:top w:val="none" w:sz="0" w:space="0" w:color="auto"/>
        <w:left w:val="none" w:sz="0" w:space="0" w:color="auto"/>
        <w:bottom w:val="none" w:sz="0" w:space="0" w:color="auto"/>
        <w:right w:val="none" w:sz="0" w:space="0" w:color="auto"/>
      </w:divBdr>
    </w:div>
    <w:div w:id="967662076">
      <w:bodyDiv w:val="1"/>
      <w:marLeft w:val="0"/>
      <w:marRight w:val="0"/>
      <w:marTop w:val="0"/>
      <w:marBottom w:val="0"/>
      <w:divBdr>
        <w:top w:val="none" w:sz="0" w:space="0" w:color="auto"/>
        <w:left w:val="none" w:sz="0" w:space="0" w:color="auto"/>
        <w:bottom w:val="none" w:sz="0" w:space="0" w:color="auto"/>
        <w:right w:val="none" w:sz="0" w:space="0" w:color="auto"/>
      </w:divBdr>
      <w:divsChild>
        <w:div w:id="1526334841">
          <w:marLeft w:val="0"/>
          <w:marRight w:val="0"/>
          <w:marTop w:val="0"/>
          <w:marBottom w:val="300"/>
          <w:divBdr>
            <w:top w:val="none" w:sz="0" w:space="0" w:color="auto"/>
            <w:left w:val="none" w:sz="0" w:space="0" w:color="auto"/>
            <w:bottom w:val="none" w:sz="0" w:space="0" w:color="auto"/>
            <w:right w:val="none" w:sz="0" w:space="0" w:color="auto"/>
          </w:divBdr>
          <w:divsChild>
            <w:div w:id="221446670">
              <w:marLeft w:val="0"/>
              <w:marRight w:val="0"/>
              <w:marTop w:val="0"/>
              <w:marBottom w:val="0"/>
              <w:divBdr>
                <w:top w:val="none" w:sz="0" w:space="0" w:color="auto"/>
                <w:left w:val="none" w:sz="0" w:space="0" w:color="auto"/>
                <w:bottom w:val="none" w:sz="0" w:space="0" w:color="auto"/>
                <w:right w:val="none" w:sz="0" w:space="0" w:color="auto"/>
              </w:divBdr>
            </w:div>
          </w:divsChild>
        </w:div>
        <w:div w:id="458915311">
          <w:marLeft w:val="0"/>
          <w:marRight w:val="0"/>
          <w:marTop w:val="0"/>
          <w:marBottom w:val="300"/>
          <w:divBdr>
            <w:top w:val="none" w:sz="0" w:space="0" w:color="auto"/>
            <w:left w:val="none" w:sz="0" w:space="0" w:color="auto"/>
            <w:bottom w:val="none" w:sz="0" w:space="0" w:color="auto"/>
            <w:right w:val="none" w:sz="0" w:space="0" w:color="auto"/>
          </w:divBdr>
          <w:divsChild>
            <w:div w:id="909735741">
              <w:marLeft w:val="0"/>
              <w:marRight w:val="0"/>
              <w:marTop w:val="0"/>
              <w:marBottom w:val="0"/>
              <w:divBdr>
                <w:top w:val="none" w:sz="0" w:space="0" w:color="auto"/>
                <w:left w:val="none" w:sz="0" w:space="0" w:color="auto"/>
                <w:bottom w:val="none" w:sz="0" w:space="0" w:color="auto"/>
                <w:right w:val="none" w:sz="0" w:space="0" w:color="auto"/>
              </w:divBdr>
            </w:div>
          </w:divsChild>
        </w:div>
        <w:div w:id="1893349425">
          <w:marLeft w:val="0"/>
          <w:marRight w:val="0"/>
          <w:marTop w:val="0"/>
          <w:marBottom w:val="0"/>
          <w:divBdr>
            <w:top w:val="none" w:sz="0" w:space="0" w:color="auto"/>
            <w:left w:val="none" w:sz="0" w:space="0" w:color="auto"/>
            <w:bottom w:val="none" w:sz="0" w:space="0" w:color="auto"/>
            <w:right w:val="none" w:sz="0" w:space="0" w:color="auto"/>
          </w:divBdr>
          <w:divsChild>
            <w:div w:id="189084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811061">
      <w:bodyDiv w:val="1"/>
      <w:marLeft w:val="0"/>
      <w:marRight w:val="0"/>
      <w:marTop w:val="0"/>
      <w:marBottom w:val="0"/>
      <w:divBdr>
        <w:top w:val="none" w:sz="0" w:space="0" w:color="auto"/>
        <w:left w:val="none" w:sz="0" w:space="0" w:color="auto"/>
        <w:bottom w:val="none" w:sz="0" w:space="0" w:color="auto"/>
        <w:right w:val="none" w:sz="0" w:space="0" w:color="auto"/>
      </w:divBdr>
      <w:divsChild>
        <w:div w:id="1898081901">
          <w:marLeft w:val="0"/>
          <w:marRight w:val="0"/>
          <w:marTop w:val="0"/>
          <w:marBottom w:val="300"/>
          <w:divBdr>
            <w:top w:val="none" w:sz="0" w:space="0" w:color="auto"/>
            <w:left w:val="none" w:sz="0" w:space="0" w:color="auto"/>
            <w:bottom w:val="none" w:sz="0" w:space="0" w:color="auto"/>
            <w:right w:val="none" w:sz="0" w:space="0" w:color="auto"/>
          </w:divBdr>
          <w:divsChild>
            <w:div w:id="1041978180">
              <w:marLeft w:val="0"/>
              <w:marRight w:val="0"/>
              <w:marTop w:val="0"/>
              <w:marBottom w:val="0"/>
              <w:divBdr>
                <w:top w:val="none" w:sz="0" w:space="0" w:color="auto"/>
                <w:left w:val="none" w:sz="0" w:space="0" w:color="auto"/>
                <w:bottom w:val="none" w:sz="0" w:space="0" w:color="auto"/>
                <w:right w:val="none" w:sz="0" w:space="0" w:color="auto"/>
              </w:divBdr>
            </w:div>
          </w:divsChild>
        </w:div>
        <w:div w:id="2063359886">
          <w:marLeft w:val="0"/>
          <w:marRight w:val="0"/>
          <w:marTop w:val="0"/>
          <w:marBottom w:val="300"/>
          <w:divBdr>
            <w:top w:val="none" w:sz="0" w:space="0" w:color="auto"/>
            <w:left w:val="none" w:sz="0" w:space="0" w:color="auto"/>
            <w:bottom w:val="none" w:sz="0" w:space="0" w:color="auto"/>
            <w:right w:val="none" w:sz="0" w:space="0" w:color="auto"/>
          </w:divBdr>
          <w:divsChild>
            <w:div w:id="321203106">
              <w:marLeft w:val="0"/>
              <w:marRight w:val="0"/>
              <w:marTop w:val="0"/>
              <w:marBottom w:val="0"/>
              <w:divBdr>
                <w:top w:val="none" w:sz="0" w:space="0" w:color="auto"/>
                <w:left w:val="none" w:sz="0" w:space="0" w:color="auto"/>
                <w:bottom w:val="none" w:sz="0" w:space="0" w:color="auto"/>
                <w:right w:val="none" w:sz="0" w:space="0" w:color="auto"/>
              </w:divBdr>
            </w:div>
          </w:divsChild>
        </w:div>
        <w:div w:id="2093046736">
          <w:marLeft w:val="0"/>
          <w:marRight w:val="0"/>
          <w:marTop w:val="0"/>
          <w:marBottom w:val="0"/>
          <w:divBdr>
            <w:top w:val="none" w:sz="0" w:space="0" w:color="auto"/>
            <w:left w:val="none" w:sz="0" w:space="0" w:color="auto"/>
            <w:bottom w:val="none" w:sz="0" w:space="0" w:color="auto"/>
            <w:right w:val="none" w:sz="0" w:space="0" w:color="auto"/>
          </w:divBdr>
          <w:divsChild>
            <w:div w:id="21125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420</Words>
  <Characters>2397</Characters>
  <Application>Microsoft Office Word</Application>
  <DocSecurity>0</DocSecurity>
  <Lines>19</Lines>
  <Paragraphs>5</Paragraphs>
  <ScaleCrop>false</ScaleCrop>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Zonio</dc:creator>
  <cp:keywords/>
  <dc:description/>
  <cp:lastModifiedBy>John Zonio</cp:lastModifiedBy>
  <cp:revision>2</cp:revision>
  <dcterms:created xsi:type="dcterms:W3CDTF">2025-05-23T03:37:00Z</dcterms:created>
  <dcterms:modified xsi:type="dcterms:W3CDTF">2025-05-23T03:37:00Z</dcterms:modified>
</cp:coreProperties>
</file>